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Arial"/>
          <w:sz w:val="21"/>
        </w:rPr>
      </w:pPr>
      <w:r>
        <w:rPr>
          <w:rFonts w:ascii="黑体" w:hAnsi="黑体" w:eastAsia="黑体" w:cs="黑体"/>
          <w:b/>
          <w:bCs/>
          <w:spacing w:val="23"/>
          <w:sz w:val="30"/>
          <w:szCs w:val="30"/>
        </w:rPr>
        <w:t>附件2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b/>
          <w:spacing w:val="8"/>
          <w:kern w:val="0"/>
          <w:sz w:val="36"/>
          <w:szCs w:val="36"/>
        </w:rPr>
      </w:pPr>
    </w:p>
    <w:p>
      <w:pPr>
        <w:widowControl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b/>
          <w:spacing w:val="8"/>
          <w:kern w:val="0"/>
          <w:sz w:val="36"/>
          <w:szCs w:val="36"/>
        </w:rPr>
      </w:pPr>
      <w:bookmarkStart w:id="0" w:name="_GoBack"/>
      <w:r>
        <w:rPr>
          <w:rFonts w:hint="eastAsia" w:ascii="黑体" w:hAnsi="黑体" w:eastAsia="黑体" w:cs="黑体"/>
          <w:b/>
          <w:spacing w:val="8"/>
          <w:kern w:val="0"/>
          <w:sz w:val="36"/>
          <w:szCs w:val="36"/>
        </w:rPr>
        <w:t>“中行杯”第十四届浙江省</w:t>
      </w:r>
    </w:p>
    <w:p>
      <w:pPr>
        <w:widowControl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b/>
          <w:spacing w:val="8"/>
          <w:kern w:val="0"/>
          <w:sz w:val="36"/>
          <w:szCs w:val="36"/>
        </w:rPr>
      </w:pPr>
      <w:r>
        <w:rPr>
          <w:rFonts w:hint="eastAsia" w:ascii="黑体" w:hAnsi="黑体" w:eastAsia="黑体" w:cs="黑体"/>
          <w:b/>
          <w:spacing w:val="8"/>
          <w:kern w:val="0"/>
          <w:sz w:val="36"/>
          <w:szCs w:val="36"/>
        </w:rPr>
        <w:t>大学生职业规划大赛就业赛道方案</w:t>
      </w:r>
    </w:p>
    <w:bookmarkEnd w:id="0"/>
    <w:p>
      <w:pPr>
        <w:widowControl/>
        <w:shd w:val="clear" w:color="auto" w:fill="FFFFFF"/>
        <w:spacing w:line="360" w:lineRule="auto"/>
        <w:jc w:val="center"/>
        <w:rPr>
          <w:rFonts w:hint="eastAsia" w:ascii="黑体" w:hAnsi="黑体" w:eastAsia="黑体" w:cs="黑体"/>
          <w:b/>
          <w:spacing w:val="8"/>
          <w:kern w:val="0"/>
          <w:sz w:val="36"/>
          <w:szCs w:val="36"/>
          <w:lang w:val="en-US" w:eastAsia="zh-CN"/>
        </w:rPr>
      </w:pPr>
    </w:p>
    <w:p>
      <w:pPr>
        <w:widowControl/>
        <w:shd w:val="clear" w:color="auto" w:fill="FFFFFF"/>
        <w:spacing w:line="360" w:lineRule="auto"/>
        <w:ind w:firstLine="594" w:firstLineChars="200"/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  <w:t>一、比赛内容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考察学生的求职实战能力，个人发展路径与经济社会发展需要的适应度，就业能力与职业目标和岗位要求的契合度。</w:t>
      </w:r>
    </w:p>
    <w:p>
      <w:pPr>
        <w:widowControl/>
        <w:shd w:val="clear" w:color="auto" w:fill="FFFFFF"/>
        <w:spacing w:line="360" w:lineRule="auto"/>
        <w:ind w:firstLine="594" w:firstLineChars="200"/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  <w:t>二、参赛组别和对象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(一)就业赛道设高教组和职教组，每组均设5个分赛道。其中，针对企业职能岗位，设产品研发、生产服务、市场营销、通用职能分赛道(按相近行业分小组);针对公共服务岗位，设公共服务分赛道。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(二)就业赛道参赛对象为普通高等学校全日制高年级在校学生。高教组面向普通本科三、四年级(部分专业五年级)学生和全体研究生，职教组面向职教本科三、四年级学生和高职(专科)二、三年级学生。</w:t>
      </w:r>
    </w:p>
    <w:p>
      <w:pPr>
        <w:widowControl/>
        <w:shd w:val="clear" w:color="auto" w:fill="FFFFFF"/>
        <w:spacing w:line="360" w:lineRule="auto"/>
        <w:ind w:firstLine="594" w:firstLineChars="200"/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  <w:t>三、参赛材料要求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选手在大赛平台(网址：zgs.chsi.com.cn)提交以下参赛材料：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(一)求职简历(PDF格式)。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(二)就业能力展示(PPT格式，不超过50MB;不可加入视频)。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(三)辅助证明材料，包括实践、实习、获奖等证明材料(PDF</w:t>
      </w:r>
    </w:p>
    <w:p>
      <w:pPr>
        <w:widowControl/>
        <w:shd w:val="clear" w:color="auto" w:fill="FFFFFF"/>
        <w:spacing w:line="360" w:lineRule="auto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格式，整合为单个文件，不超过50MB)。</w:t>
      </w:r>
    </w:p>
    <w:p>
      <w:pPr>
        <w:widowControl/>
        <w:shd w:val="clear" w:color="auto" w:fill="FFFFFF"/>
        <w:spacing w:line="360" w:lineRule="auto"/>
        <w:ind w:firstLine="594" w:firstLineChars="200"/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  <w:t>四、比赛环节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(一)省级复赛环节：组织专家对选手提交的参赛材料进行网上评审，确定入围省级决赛人选。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(二)省级决赛环节：就业赛道设主题陈述和综合面试环节。</w:t>
      </w:r>
    </w:p>
    <w:p>
      <w:pPr>
        <w:widowControl/>
        <w:shd w:val="clear" w:color="auto" w:fill="FFFFFF"/>
        <w:spacing w:line="360" w:lineRule="auto"/>
        <w:ind w:firstLine="592" w:firstLineChars="200"/>
        <w:rPr>
          <w:rFonts w:hint="eastAsia" w:cs="宋体" w:asciiTheme="minorEastAsia" w:hAnsiTheme="minorEastAsia"/>
          <w:spacing w:val="8"/>
          <w:kern w:val="0"/>
          <w:sz w:val="28"/>
          <w:szCs w:val="24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1.主题陈述(7分钟):选手陈述个人求职意向和职业准备情况，展示通用素质与岗位能力。展示可以选用道具，仅限选手本人完成。</w:t>
      </w:r>
    </w:p>
    <w:p>
      <w:pPr>
        <w:spacing w:before="61" w:line="222" w:lineRule="auto"/>
        <w:ind w:firstLine="592" w:firstLineChars="200"/>
        <w:outlineLvl w:val="0"/>
        <w:rPr>
          <w:rFonts w:hint="eastAsia" w:cs="宋体" w:asciiTheme="minorEastAsia" w:hAnsiTheme="minorEastAsia"/>
          <w:spacing w:val="8"/>
          <w:kern w:val="0"/>
          <w:sz w:val="28"/>
          <w:szCs w:val="24"/>
          <w:lang w:eastAsia="zh-CN"/>
        </w:rPr>
      </w:pPr>
      <w:r>
        <w:rPr>
          <w:rFonts w:hint="eastAsia" w:cs="宋体" w:asciiTheme="minorEastAsia" w:hAnsiTheme="minorEastAsia"/>
          <w:spacing w:val="8"/>
          <w:kern w:val="0"/>
          <w:sz w:val="28"/>
          <w:szCs w:val="24"/>
        </w:rPr>
        <w:t>2.综合面试(8分钟):评委提出真实工作场景中可能遇到的问题，选手提出解决方案；评委结合选手陈述自由提问</w:t>
      </w:r>
      <w:r>
        <w:rPr>
          <w:rFonts w:hint="eastAsia" w:cs="宋体" w:asciiTheme="minorEastAsia" w:hAnsiTheme="minorEastAsia"/>
          <w:spacing w:val="8"/>
          <w:kern w:val="0"/>
          <w:sz w:val="28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100" w:line="224" w:lineRule="auto"/>
        <w:ind w:firstLine="594" w:firstLineChars="200"/>
        <w:textAlignment w:val="auto"/>
        <w:outlineLvl w:val="0"/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spacing w:val="8"/>
          <w:kern w:val="0"/>
          <w:sz w:val="28"/>
          <w:szCs w:val="24"/>
          <w:lang w:val="en-US" w:eastAsia="zh-CN"/>
        </w:rPr>
        <w:t>五、评审标准</w:t>
      </w:r>
    </w:p>
    <w:p>
      <w:pPr>
        <w:spacing w:line="163" w:lineRule="exact"/>
      </w:pPr>
    </w:p>
    <w:tbl>
      <w:tblPr>
        <w:tblStyle w:val="4"/>
        <w:tblW w:w="962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3"/>
        <w:gridCol w:w="1440"/>
        <w:gridCol w:w="3406"/>
        <w:gridCol w:w="759"/>
        <w:gridCol w:w="759"/>
        <w:gridCol w:w="749"/>
        <w:gridCol w:w="749"/>
        <w:gridCol w:w="7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2433" w:type="dxa"/>
            <w:gridSpan w:val="2"/>
            <w:vAlign w:val="top"/>
          </w:tcPr>
          <w:p>
            <w:pPr>
              <w:spacing w:before="136" w:line="220" w:lineRule="auto"/>
              <w:ind w:left="934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指标</w:t>
            </w:r>
          </w:p>
        </w:tc>
        <w:tc>
          <w:tcPr>
            <w:tcW w:w="3406" w:type="dxa"/>
            <w:vMerge w:val="restart"/>
            <w:tcBorders>
              <w:bottom w:val="nil"/>
            </w:tcBorders>
            <w:vAlign w:val="top"/>
          </w:tcPr>
          <w:p>
            <w:pPr>
              <w:spacing w:line="426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87" w:line="219" w:lineRule="auto"/>
              <w:ind w:left="141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  <w:t>说明</w:t>
            </w:r>
          </w:p>
        </w:tc>
        <w:tc>
          <w:tcPr>
            <w:tcW w:w="3790" w:type="dxa"/>
            <w:gridSpan w:val="5"/>
            <w:vAlign w:val="top"/>
          </w:tcPr>
          <w:p>
            <w:pPr>
              <w:spacing w:before="132" w:line="219" w:lineRule="auto"/>
              <w:ind w:left="121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993" w:type="dxa"/>
            <w:vAlign w:val="top"/>
          </w:tcPr>
          <w:p>
            <w:pPr>
              <w:spacing w:before="124" w:line="212" w:lineRule="auto"/>
              <w:ind w:left="184" w:right="172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  <w:lang w:eastAsia="zh-CN"/>
              </w:rPr>
              <w:t>一级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指标</w:t>
            </w:r>
          </w:p>
        </w:tc>
        <w:tc>
          <w:tcPr>
            <w:tcW w:w="1440" w:type="dxa"/>
            <w:vAlign w:val="top"/>
          </w:tcPr>
          <w:p>
            <w:pPr>
              <w:spacing w:before="243" w:line="220" w:lineRule="auto"/>
              <w:ind w:left="20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2"/>
                <w:sz w:val="28"/>
                <w:szCs w:val="28"/>
              </w:rPr>
              <w:t>二级指标</w:t>
            </w:r>
          </w:p>
        </w:tc>
        <w:tc>
          <w:tcPr>
            <w:tcW w:w="340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9" w:type="dxa"/>
            <w:vAlign w:val="top"/>
          </w:tcPr>
          <w:p>
            <w:pPr>
              <w:spacing w:before="121" w:line="213" w:lineRule="auto"/>
              <w:ind w:left="105" w:right="7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产品</w:t>
            </w: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研发</w:t>
            </w:r>
          </w:p>
        </w:tc>
        <w:tc>
          <w:tcPr>
            <w:tcW w:w="759" w:type="dxa"/>
            <w:vAlign w:val="top"/>
          </w:tcPr>
          <w:p>
            <w:pPr>
              <w:spacing w:before="90" w:line="223" w:lineRule="auto"/>
              <w:ind w:left="106" w:right="8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生产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服务</w:t>
            </w:r>
          </w:p>
        </w:tc>
        <w:tc>
          <w:tcPr>
            <w:tcW w:w="749" w:type="dxa"/>
            <w:vAlign w:val="top"/>
          </w:tcPr>
          <w:p>
            <w:pPr>
              <w:spacing w:before="121" w:line="213" w:lineRule="auto"/>
              <w:ind w:left="97" w:right="8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8"/>
                <w:sz w:val="28"/>
                <w:szCs w:val="28"/>
              </w:rPr>
              <w:t>市场</w:t>
            </w:r>
            <w:r>
              <w:rPr>
                <w:rFonts w:hint="eastAsia" w:ascii="宋体" w:hAnsi="宋体" w:eastAsia="宋体" w:cs="宋体"/>
                <w:spacing w:val="9"/>
                <w:sz w:val="28"/>
                <w:szCs w:val="28"/>
              </w:rPr>
              <w:t>营销</w:t>
            </w:r>
          </w:p>
        </w:tc>
        <w:tc>
          <w:tcPr>
            <w:tcW w:w="749" w:type="dxa"/>
            <w:vAlign w:val="top"/>
          </w:tcPr>
          <w:p>
            <w:pPr>
              <w:spacing w:before="123" w:line="213" w:lineRule="auto"/>
              <w:ind w:left="98" w:right="6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  <w:t>通用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职能</w:t>
            </w:r>
          </w:p>
        </w:tc>
        <w:tc>
          <w:tcPr>
            <w:tcW w:w="774" w:type="dxa"/>
            <w:vAlign w:val="top"/>
          </w:tcPr>
          <w:p>
            <w:pPr>
              <w:spacing w:before="122" w:line="212" w:lineRule="auto"/>
              <w:ind w:left="109" w:right="10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公共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993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7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8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88" w:line="229" w:lineRule="auto"/>
              <w:ind w:left="184" w:right="15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6"/>
                <w:sz w:val="28"/>
                <w:szCs w:val="28"/>
              </w:rPr>
              <w:t>通用</w:t>
            </w: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</w:rPr>
              <w:t>素质</w:t>
            </w:r>
          </w:p>
        </w:tc>
        <w:tc>
          <w:tcPr>
            <w:tcW w:w="1440" w:type="dxa"/>
            <w:vAlign w:val="top"/>
          </w:tcPr>
          <w:p>
            <w:pPr>
              <w:spacing w:line="321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88" w:line="219" w:lineRule="auto"/>
              <w:ind w:left="20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职业精神</w:t>
            </w:r>
          </w:p>
        </w:tc>
        <w:tc>
          <w:tcPr>
            <w:tcW w:w="3406" w:type="dxa"/>
            <w:vAlign w:val="top"/>
          </w:tcPr>
          <w:p>
            <w:pPr>
              <w:spacing w:before="82" w:line="227" w:lineRule="auto"/>
              <w:ind w:left="141" w:right="121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4"/>
                <w:sz w:val="28"/>
                <w:szCs w:val="28"/>
              </w:rPr>
              <w:t>具有家国情怀，有爱岗敬业、忠诚守信、奋斗奉献</w:t>
            </w: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精神等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88" w:line="183" w:lineRule="auto"/>
              <w:ind w:left="2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40</w:t>
            </w:r>
          </w:p>
        </w:tc>
        <w:tc>
          <w:tcPr>
            <w:tcW w:w="75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88" w:line="183" w:lineRule="auto"/>
              <w:ind w:left="10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40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88" w:line="183" w:lineRule="auto"/>
              <w:ind w:left="237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50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88" w:line="183" w:lineRule="auto"/>
              <w:ind w:left="23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50</w:t>
            </w:r>
          </w:p>
        </w:tc>
        <w:tc>
          <w:tcPr>
            <w:tcW w:w="77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line="245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88" w:line="183" w:lineRule="auto"/>
              <w:ind w:left="24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4"/>
                <w:sz w:val="28"/>
                <w:szCs w:val="28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before="245" w:line="219" w:lineRule="auto"/>
              <w:ind w:left="20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7"/>
                <w:sz w:val="28"/>
                <w:szCs w:val="28"/>
              </w:rPr>
              <w:t>心理素质</w:t>
            </w:r>
          </w:p>
        </w:tc>
        <w:tc>
          <w:tcPr>
            <w:tcW w:w="3406" w:type="dxa"/>
            <w:vAlign w:val="top"/>
          </w:tcPr>
          <w:p>
            <w:pPr>
              <w:spacing w:before="85" w:line="223" w:lineRule="auto"/>
              <w:ind w:left="141" w:right="11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5"/>
                <w:sz w:val="28"/>
                <w:szCs w:val="28"/>
              </w:rPr>
              <w:t>具备目标岗位所需的意志</w:t>
            </w:r>
            <w:r>
              <w:rPr>
                <w:rFonts w:hint="eastAsia" w:ascii="宋体" w:hAnsi="宋体" w:eastAsia="宋体" w:cs="宋体"/>
                <w:spacing w:val="6"/>
                <w:sz w:val="28"/>
                <w:szCs w:val="28"/>
              </w:rPr>
              <w:t>力、抗压能力等</w:t>
            </w: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99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327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>
            <w:pPr>
              <w:spacing w:before="88" w:line="219" w:lineRule="auto"/>
              <w:ind w:left="20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思维能力</w:t>
            </w:r>
          </w:p>
        </w:tc>
        <w:tc>
          <w:tcPr>
            <w:tcW w:w="3406" w:type="dxa"/>
            <w:vAlign w:val="top"/>
          </w:tcPr>
          <w:p>
            <w:pPr>
              <w:spacing w:before="87" w:line="228" w:lineRule="auto"/>
              <w:ind w:left="141" w:right="122"/>
              <w:jc w:val="both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4"/>
                <w:sz w:val="28"/>
                <w:szCs w:val="28"/>
              </w:rPr>
              <w:t>具备目标岗位所需的逻辑推理、系统分析和信息处</w:t>
            </w:r>
            <w:r>
              <w:rPr>
                <w:rFonts w:hint="eastAsia" w:ascii="宋体" w:hAnsi="宋体" w:eastAsia="宋体" w:cs="宋体"/>
                <w:spacing w:val="13"/>
                <w:sz w:val="28"/>
                <w:szCs w:val="28"/>
              </w:rPr>
              <w:t>理能力等</w:t>
            </w: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99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40" w:type="dxa"/>
            <w:vAlign w:val="top"/>
          </w:tcPr>
          <w:p>
            <w:pPr>
              <w:spacing w:before="279" w:line="219" w:lineRule="auto"/>
              <w:ind w:left="201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5"/>
                <w:sz w:val="28"/>
                <w:szCs w:val="28"/>
              </w:rPr>
              <w:t>沟通能力</w:t>
            </w:r>
          </w:p>
        </w:tc>
        <w:tc>
          <w:tcPr>
            <w:tcW w:w="3406" w:type="dxa"/>
            <w:vAlign w:val="top"/>
          </w:tcPr>
          <w:p>
            <w:pPr>
              <w:spacing w:before="138" w:line="226" w:lineRule="auto"/>
              <w:ind w:left="141" w:right="133" w:firstLine="1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11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77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40" w:h="16780"/>
          <w:pgMar w:top="1426" w:right="1125" w:bottom="1590" w:left="1175" w:header="0" w:footer="1321" w:gutter="0"/>
          <w:cols w:space="720" w:num="1"/>
        </w:sectPr>
      </w:pPr>
    </w:p>
    <w:p/>
    <w:p>
      <w:pPr>
        <w:spacing w:line="177" w:lineRule="exact"/>
      </w:pPr>
    </w:p>
    <w:tbl>
      <w:tblPr>
        <w:tblStyle w:val="4"/>
        <w:tblW w:w="961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1"/>
        <w:gridCol w:w="1436"/>
        <w:gridCol w:w="3376"/>
        <w:gridCol w:w="758"/>
        <w:gridCol w:w="748"/>
        <w:gridCol w:w="758"/>
        <w:gridCol w:w="748"/>
        <w:gridCol w:w="7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  <w:jc w:val="center"/>
        </w:trPr>
        <w:tc>
          <w:tcPr>
            <w:tcW w:w="102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91" w:line="225" w:lineRule="auto"/>
              <w:ind w:left="330" w:right="184" w:hanging="140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6"/>
                <w:kern w:val="0"/>
                <w:sz w:val="28"/>
                <w:szCs w:val="28"/>
                <w:lang w:eastAsia="zh-CN"/>
              </w:rPr>
              <w:t>执行和领导能力</w:t>
            </w:r>
          </w:p>
        </w:tc>
        <w:tc>
          <w:tcPr>
            <w:tcW w:w="3376" w:type="dxa"/>
            <w:vAlign w:val="top"/>
          </w:tcPr>
          <w:p>
            <w:pPr>
              <w:spacing w:before="64" w:line="227" w:lineRule="auto"/>
              <w:ind w:left="133" w:right="3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能够针对工作任务制定计划并实施，具备目标岗位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所需的团队领导、协作、</w:t>
            </w:r>
            <w:r>
              <w:rPr>
                <w:rFonts w:ascii="宋体" w:hAnsi="宋体" w:eastAsia="宋体" w:cs="宋体"/>
                <w:spacing w:val="1"/>
                <w:sz w:val="28"/>
                <w:szCs w:val="28"/>
              </w:rPr>
              <w:t>激励和执行能力等</w:t>
            </w: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atLeast"/>
          <w:jc w:val="center"/>
        </w:trPr>
        <w:tc>
          <w:tcPr>
            <w:tcW w:w="1021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91" w:line="231" w:lineRule="auto"/>
              <w:ind w:left="174" w:right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岗位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能力</w:t>
            </w:r>
          </w:p>
        </w:tc>
        <w:tc>
          <w:tcPr>
            <w:tcW w:w="143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91" w:line="235" w:lineRule="auto"/>
              <w:ind w:left="469" w:right="175" w:hanging="2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5"/>
                <w:sz w:val="28"/>
                <w:szCs w:val="28"/>
              </w:rPr>
              <w:t>岗位认知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程度</w:t>
            </w:r>
          </w:p>
        </w:tc>
        <w:tc>
          <w:tcPr>
            <w:tcW w:w="3376" w:type="dxa"/>
            <w:vAlign w:val="top"/>
          </w:tcPr>
          <w:p>
            <w:pPr>
              <w:spacing w:before="97" w:line="232" w:lineRule="auto"/>
              <w:ind w:left="133" w:right="3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全面了解目标行业现状、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发展趋势和就业需求，准确把握目标岗位的任职要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求、工作流程、工作内容</w:t>
            </w:r>
            <w:r>
              <w:rPr>
                <w:rFonts w:ascii="宋体" w:hAnsi="宋体" w:eastAsia="宋体" w:cs="宋体"/>
                <w:sz w:val="28"/>
                <w:szCs w:val="28"/>
              </w:rPr>
              <w:t>等</w:t>
            </w:r>
          </w:p>
        </w:tc>
        <w:tc>
          <w:tcPr>
            <w:tcW w:w="75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20</w:t>
            </w:r>
          </w:p>
        </w:tc>
        <w:tc>
          <w:tcPr>
            <w:tcW w:w="748" w:type="dxa"/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2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20</w:t>
            </w:r>
          </w:p>
        </w:tc>
        <w:tc>
          <w:tcPr>
            <w:tcW w:w="75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3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15</w:t>
            </w:r>
          </w:p>
        </w:tc>
        <w:tc>
          <w:tcPr>
            <w:tcW w:w="748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3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15</w:t>
            </w:r>
          </w:p>
        </w:tc>
        <w:tc>
          <w:tcPr>
            <w:tcW w:w="77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3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 w:hRule="atLeast"/>
          <w:jc w:val="center"/>
        </w:trPr>
        <w:tc>
          <w:tcPr>
            <w:tcW w:w="10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6" w:type="dxa"/>
            <w:vAlign w:val="top"/>
          </w:tcPr>
          <w:p>
            <w:pPr>
              <w:spacing w:line="362" w:lineRule="auto"/>
              <w:rPr>
                <w:rFonts w:ascii="Arial"/>
                <w:sz w:val="21"/>
              </w:rPr>
            </w:pPr>
          </w:p>
          <w:p>
            <w:pPr>
              <w:spacing w:before="91" w:line="232" w:lineRule="auto"/>
              <w:ind w:left="469" w:right="184" w:hanging="2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3"/>
                <w:sz w:val="28"/>
                <w:szCs w:val="28"/>
              </w:rPr>
              <w:t>岗位胜任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能力</w:t>
            </w:r>
          </w:p>
        </w:tc>
        <w:tc>
          <w:tcPr>
            <w:tcW w:w="3376" w:type="dxa"/>
            <w:vAlign w:val="top"/>
          </w:tcPr>
          <w:p>
            <w:pPr>
              <w:spacing w:before="307" w:line="229" w:lineRule="auto"/>
              <w:ind w:left="133" w:right="84"/>
              <w:jc w:val="both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具备目标岗位所需的专业</w:t>
            </w: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能力、实习实践经历、解</w:t>
            </w:r>
            <w:r>
              <w:rPr>
                <w:rFonts w:ascii="宋体" w:hAnsi="宋体" w:eastAsia="宋体" w:cs="宋体"/>
                <w:spacing w:val="4"/>
                <w:sz w:val="28"/>
                <w:szCs w:val="28"/>
              </w:rPr>
              <w:t>决实际工作问题的能力等</w:t>
            </w:r>
          </w:p>
        </w:tc>
        <w:tc>
          <w:tcPr>
            <w:tcW w:w="75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  <w:tc>
          <w:tcPr>
            <w:tcW w:w="74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2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5"/>
                <w:sz w:val="28"/>
                <w:szCs w:val="28"/>
              </w:rPr>
              <w:t>30</w:t>
            </w:r>
          </w:p>
        </w:tc>
        <w:tc>
          <w:tcPr>
            <w:tcW w:w="75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3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25</w:t>
            </w:r>
          </w:p>
        </w:tc>
        <w:tc>
          <w:tcPr>
            <w:tcW w:w="748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3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25</w:t>
            </w:r>
          </w:p>
        </w:tc>
        <w:tc>
          <w:tcPr>
            <w:tcW w:w="77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91" w:line="183" w:lineRule="auto"/>
              <w:ind w:left="3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sz w:val="28"/>
                <w:szCs w:val="28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  <w:jc w:val="center"/>
        </w:trPr>
        <w:tc>
          <w:tcPr>
            <w:tcW w:w="1021" w:type="dxa"/>
            <w:vAlign w:val="top"/>
          </w:tcPr>
          <w:p>
            <w:pPr>
              <w:spacing w:before="112" w:line="231" w:lineRule="auto"/>
              <w:ind w:left="174" w:right="154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7"/>
                <w:sz w:val="28"/>
                <w:szCs w:val="28"/>
              </w:rPr>
              <w:t>发展</w:t>
            </w:r>
            <w:r>
              <w:rPr>
                <w:rFonts w:ascii="宋体" w:hAnsi="宋体" w:eastAsia="宋体" w:cs="宋体"/>
                <w:spacing w:val="12"/>
                <w:sz w:val="28"/>
                <w:szCs w:val="28"/>
              </w:rPr>
              <w:t>潜力</w:t>
            </w:r>
          </w:p>
        </w:tc>
        <w:tc>
          <w:tcPr>
            <w:tcW w:w="1436" w:type="dxa"/>
            <w:vAlign w:val="top"/>
          </w:tcPr>
          <w:p>
            <w:pPr>
              <w:spacing w:line="387" w:lineRule="auto"/>
              <w:rPr>
                <w:rFonts w:ascii="Arial"/>
                <w:sz w:val="21"/>
              </w:rPr>
            </w:pPr>
          </w:p>
          <w:p>
            <w:pPr>
              <w:spacing w:before="36" w:line="85" w:lineRule="exact"/>
              <w:ind w:left="690"/>
              <w:rPr>
                <w:rFonts w:ascii="宋体" w:hAnsi="宋体" w:eastAsia="宋体" w:cs="宋体"/>
                <w:sz w:val="11"/>
                <w:szCs w:val="11"/>
              </w:rPr>
            </w:pPr>
            <w:r>
              <w:rPr>
                <w:rFonts w:ascii="宋体" w:hAnsi="宋体" w:eastAsia="宋体" w:cs="宋体"/>
                <w:position w:val="-2"/>
                <w:sz w:val="11"/>
                <w:szCs w:val="11"/>
              </w:rPr>
              <w:t>一</w:t>
            </w:r>
          </w:p>
        </w:tc>
        <w:tc>
          <w:tcPr>
            <w:tcW w:w="3376" w:type="dxa"/>
            <w:vAlign w:val="top"/>
          </w:tcPr>
          <w:p>
            <w:pPr>
              <w:spacing w:before="131" w:line="224" w:lineRule="auto"/>
              <w:ind w:left="133" w:right="7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8"/>
                <w:sz w:val="28"/>
                <w:szCs w:val="28"/>
              </w:rPr>
              <w:t>职业目标契合行业发展前</w:t>
            </w:r>
            <w:r>
              <w:rPr>
                <w:rFonts w:ascii="宋体" w:hAnsi="宋体" w:eastAsia="宋体" w:cs="宋体"/>
                <w:spacing w:val="2"/>
                <w:sz w:val="28"/>
                <w:szCs w:val="28"/>
              </w:rPr>
              <w:t>景和人才需求</w:t>
            </w:r>
          </w:p>
        </w:tc>
        <w:tc>
          <w:tcPr>
            <w:tcW w:w="75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31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74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22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75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308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748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31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  <w:tc>
          <w:tcPr>
            <w:tcW w:w="77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before="91" w:line="184" w:lineRule="auto"/>
              <w:ind w:left="329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8"/>
                <w:sz w:val="28"/>
                <w:szCs w:val="28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</w:p>
    <w:p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03"/>
      <w:jc w:val="right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403"/>
      <w:jc w:val="right"/>
      <w:rPr>
        <w:rFonts w:ascii="宋体" w:hAnsi="宋体" w:eastAsia="宋体" w:cs="宋体"/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RiNjQyNmJkYjhiYjQ0OWFkZDZjNTgwNTU2N2U3ZDUifQ=="/>
  </w:docVars>
  <w:rsids>
    <w:rsidRoot w:val="4FEF449B"/>
    <w:rsid w:val="4FE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2023-10-11T08:08:00Z</dcterms:created>
  <dc:creator>陈超超1414896946</dc:creator>
  <cp:lastModifiedBy>陈超超1414896946</cp:lastModifiedBy>
  <dcterms:modified xsi:type="dcterms:W3CDTF">2023-10-11T08:09:02Z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D94F56E2D46C4C79B9BACE4B5C2029A1_11</vt:lpwstr>
  </property>
</Properties>
</file>